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31" w:rsidRPr="00E963AA" w:rsidRDefault="002E5731" w:rsidP="002E5731">
      <w:pPr>
        <w:numPr>
          <w:ilvl w:val="0"/>
          <w:numId w:val="11"/>
        </w:numPr>
        <w:tabs>
          <w:tab w:val="left" w:pos="720"/>
        </w:tabs>
        <w:rPr>
          <w:sz w:val="22"/>
          <w:szCs w:val="22"/>
        </w:rPr>
      </w:pPr>
      <w:r w:rsidRPr="00E963AA">
        <w:rPr>
          <w:sz w:val="22"/>
          <w:szCs w:val="22"/>
        </w:rPr>
        <w:t>Introductions</w:t>
      </w:r>
    </w:p>
    <w:p w:rsidR="002E5731" w:rsidRPr="00E963AA" w:rsidRDefault="002E5731" w:rsidP="002E5731">
      <w:pPr>
        <w:rPr>
          <w:sz w:val="22"/>
          <w:szCs w:val="22"/>
        </w:rPr>
      </w:pPr>
    </w:p>
    <w:p w:rsidR="002E5731" w:rsidRPr="00E963AA" w:rsidRDefault="002E5731" w:rsidP="002E5731">
      <w:pPr>
        <w:numPr>
          <w:ilvl w:val="0"/>
          <w:numId w:val="11"/>
        </w:numPr>
        <w:rPr>
          <w:sz w:val="22"/>
          <w:szCs w:val="22"/>
        </w:rPr>
      </w:pPr>
      <w:r w:rsidRPr="00E963AA">
        <w:rPr>
          <w:sz w:val="22"/>
          <w:szCs w:val="22"/>
        </w:rPr>
        <w:t xml:space="preserve">Overview of the </w:t>
      </w:r>
      <w:proofErr w:type="spellStart"/>
      <w:r w:rsidRPr="00E963AA">
        <w:rPr>
          <w:sz w:val="22"/>
          <w:szCs w:val="22"/>
        </w:rPr>
        <w:t>Subrecipient</w:t>
      </w:r>
      <w:proofErr w:type="spellEnd"/>
      <w:r w:rsidRPr="00E963AA">
        <w:rPr>
          <w:sz w:val="22"/>
          <w:szCs w:val="22"/>
        </w:rPr>
        <w:t xml:space="preserve"> Monitoring Program</w:t>
      </w:r>
    </w:p>
    <w:p w:rsidR="002E5731" w:rsidRPr="00E963AA" w:rsidRDefault="002E5731" w:rsidP="002E5731">
      <w:pPr>
        <w:rPr>
          <w:sz w:val="22"/>
          <w:szCs w:val="22"/>
        </w:rPr>
      </w:pPr>
    </w:p>
    <w:p w:rsidR="002E5731" w:rsidRPr="00E963AA" w:rsidRDefault="002E5731" w:rsidP="002E5731">
      <w:pPr>
        <w:numPr>
          <w:ilvl w:val="0"/>
          <w:numId w:val="11"/>
        </w:numPr>
        <w:rPr>
          <w:sz w:val="22"/>
          <w:szCs w:val="22"/>
        </w:rPr>
      </w:pPr>
      <w:proofErr w:type="spellStart"/>
      <w:r w:rsidRPr="00E963AA">
        <w:rPr>
          <w:sz w:val="22"/>
          <w:szCs w:val="22"/>
        </w:rPr>
        <w:t>Subrecipient</w:t>
      </w:r>
      <w:proofErr w:type="spellEnd"/>
      <w:r w:rsidRPr="00E963AA">
        <w:rPr>
          <w:sz w:val="22"/>
          <w:szCs w:val="22"/>
        </w:rPr>
        <w:t xml:space="preserve"> Monitoring Components</w:t>
      </w:r>
    </w:p>
    <w:p w:rsidR="002E5731" w:rsidRPr="00E963AA" w:rsidRDefault="002E5731" w:rsidP="002E5731">
      <w:pPr>
        <w:rPr>
          <w:sz w:val="22"/>
          <w:szCs w:val="22"/>
        </w:rPr>
      </w:pPr>
    </w:p>
    <w:p w:rsidR="002E5731" w:rsidRPr="00E963AA" w:rsidRDefault="002E5731" w:rsidP="002E5731">
      <w:pPr>
        <w:numPr>
          <w:ilvl w:val="0"/>
          <w:numId w:val="12"/>
        </w:numPr>
        <w:rPr>
          <w:sz w:val="22"/>
          <w:szCs w:val="22"/>
        </w:rPr>
      </w:pPr>
      <w:r w:rsidRPr="00E963AA">
        <w:rPr>
          <w:sz w:val="22"/>
          <w:szCs w:val="22"/>
        </w:rPr>
        <w:t>Desk Reviews</w:t>
      </w:r>
    </w:p>
    <w:p w:rsidR="002E5731" w:rsidRPr="00E963AA" w:rsidRDefault="002E5731" w:rsidP="002E5731">
      <w:pPr>
        <w:numPr>
          <w:ilvl w:val="0"/>
          <w:numId w:val="13"/>
        </w:numPr>
        <w:ind w:left="2520" w:hanging="360"/>
        <w:rPr>
          <w:sz w:val="22"/>
          <w:szCs w:val="22"/>
        </w:rPr>
      </w:pPr>
      <w:r w:rsidRPr="00E963AA">
        <w:rPr>
          <w:sz w:val="22"/>
          <w:szCs w:val="22"/>
        </w:rPr>
        <w:t>Quarterly Reporting</w:t>
      </w:r>
    </w:p>
    <w:p w:rsidR="002E5731" w:rsidRPr="00E963AA" w:rsidRDefault="002E5731" w:rsidP="002E5731">
      <w:pPr>
        <w:numPr>
          <w:ilvl w:val="0"/>
          <w:numId w:val="13"/>
        </w:numPr>
        <w:ind w:left="2520" w:hanging="360"/>
        <w:rPr>
          <w:sz w:val="22"/>
          <w:szCs w:val="22"/>
        </w:rPr>
      </w:pPr>
      <w:r w:rsidRPr="00E963AA">
        <w:rPr>
          <w:sz w:val="22"/>
          <w:szCs w:val="22"/>
        </w:rPr>
        <w:t>Single Audit</w:t>
      </w:r>
      <w:r w:rsidR="00D42F28">
        <w:rPr>
          <w:sz w:val="22"/>
          <w:szCs w:val="22"/>
        </w:rPr>
        <w:t xml:space="preserve"> </w:t>
      </w:r>
    </w:p>
    <w:p w:rsidR="002E5731" w:rsidRPr="00E963AA" w:rsidRDefault="002E5731" w:rsidP="002E5731">
      <w:pPr>
        <w:numPr>
          <w:ilvl w:val="0"/>
          <w:numId w:val="12"/>
        </w:numPr>
        <w:rPr>
          <w:sz w:val="22"/>
          <w:szCs w:val="22"/>
        </w:rPr>
      </w:pPr>
      <w:r w:rsidRPr="00E963AA">
        <w:rPr>
          <w:sz w:val="22"/>
          <w:szCs w:val="22"/>
        </w:rPr>
        <w:t>Site Visit</w:t>
      </w:r>
    </w:p>
    <w:p w:rsidR="002E5731" w:rsidRPr="00E963AA" w:rsidRDefault="002E5731" w:rsidP="002E5731">
      <w:pPr>
        <w:numPr>
          <w:ilvl w:val="0"/>
          <w:numId w:val="12"/>
        </w:numPr>
        <w:rPr>
          <w:sz w:val="22"/>
          <w:szCs w:val="22"/>
        </w:rPr>
      </w:pPr>
      <w:r w:rsidRPr="00E963AA">
        <w:rPr>
          <w:sz w:val="22"/>
          <w:szCs w:val="22"/>
        </w:rPr>
        <w:t>Ongoing Communication</w:t>
      </w:r>
    </w:p>
    <w:p w:rsidR="002E5731" w:rsidRPr="00E963AA" w:rsidRDefault="002E5731" w:rsidP="002E5731">
      <w:pPr>
        <w:ind w:left="1440"/>
        <w:rPr>
          <w:sz w:val="22"/>
          <w:szCs w:val="22"/>
        </w:rPr>
      </w:pPr>
    </w:p>
    <w:p w:rsidR="002E5731" w:rsidRPr="00D42F28" w:rsidRDefault="002E5731" w:rsidP="00D42F28">
      <w:pPr>
        <w:numPr>
          <w:ilvl w:val="0"/>
          <w:numId w:val="11"/>
        </w:numPr>
        <w:rPr>
          <w:sz w:val="22"/>
          <w:szCs w:val="22"/>
        </w:rPr>
      </w:pPr>
      <w:r w:rsidRPr="00E963AA">
        <w:rPr>
          <w:sz w:val="22"/>
          <w:szCs w:val="22"/>
        </w:rPr>
        <w:t>Why are we here today?</w:t>
      </w:r>
      <w:r w:rsidR="00D42F28">
        <w:rPr>
          <w:sz w:val="22"/>
          <w:szCs w:val="22"/>
        </w:rPr>
        <w:br/>
      </w:r>
    </w:p>
    <w:p w:rsidR="002E5731" w:rsidRPr="00E963AA" w:rsidRDefault="002E5731" w:rsidP="00C93293">
      <w:pPr>
        <w:ind w:left="1440"/>
        <w:rPr>
          <w:sz w:val="22"/>
          <w:szCs w:val="22"/>
        </w:rPr>
      </w:pPr>
      <w:r>
        <w:rPr>
          <w:sz w:val="22"/>
          <w:szCs w:val="22"/>
        </w:rPr>
        <w:t>Site visits are a monitoring activity imp</w:t>
      </w:r>
      <w:r w:rsidR="00D42F28">
        <w:rPr>
          <w:sz w:val="22"/>
          <w:szCs w:val="22"/>
        </w:rPr>
        <w:t>lemented by</w:t>
      </w:r>
      <w:r w:rsidR="00D42F28" w:rsidRPr="00D42F28">
        <w:rPr>
          <w:sz w:val="22"/>
          <w:szCs w:val="22"/>
        </w:rPr>
        <w:t xml:space="preserve"> the Uniform Administrative Requirements, </w:t>
      </w:r>
      <w:r w:rsidR="00D42F28" w:rsidRPr="00D42F28">
        <w:rPr>
          <w:i/>
          <w:sz w:val="22"/>
          <w:szCs w:val="22"/>
        </w:rPr>
        <w:t>Cost Principles, and Audit Requirements for Federal Awards</w:t>
      </w:r>
      <w:r w:rsidR="00D42F28" w:rsidRPr="00D42F28">
        <w:rPr>
          <w:sz w:val="22"/>
          <w:szCs w:val="22"/>
        </w:rPr>
        <w:t xml:space="preserve"> (2 CFR 200 or “Uniform Guidance”), §200.331,</w:t>
      </w:r>
      <w:r w:rsidR="00D42F28">
        <w:rPr>
          <w:sz w:val="22"/>
          <w:szCs w:val="22"/>
        </w:rPr>
        <w:t xml:space="preserve"> </w:t>
      </w:r>
      <w:r>
        <w:rPr>
          <w:sz w:val="22"/>
          <w:szCs w:val="22"/>
        </w:rPr>
        <w:t>to assess compliance and administration of Federal funds.</w:t>
      </w:r>
    </w:p>
    <w:p w:rsidR="002E5731" w:rsidRPr="00E963AA" w:rsidRDefault="002E5731" w:rsidP="002E5731">
      <w:pPr>
        <w:ind w:left="360"/>
        <w:rPr>
          <w:sz w:val="22"/>
          <w:szCs w:val="22"/>
        </w:rPr>
      </w:pPr>
    </w:p>
    <w:p w:rsidR="002E5731" w:rsidRPr="00D42F28" w:rsidRDefault="002E5731" w:rsidP="00D42F28">
      <w:pPr>
        <w:numPr>
          <w:ilvl w:val="0"/>
          <w:numId w:val="11"/>
        </w:numPr>
        <w:rPr>
          <w:sz w:val="22"/>
          <w:szCs w:val="22"/>
        </w:rPr>
      </w:pPr>
      <w:r w:rsidRPr="00E963AA">
        <w:rPr>
          <w:sz w:val="22"/>
          <w:szCs w:val="22"/>
        </w:rPr>
        <w:t xml:space="preserve">Site Visit Objectives  </w:t>
      </w:r>
      <w:r w:rsidR="00D42F28">
        <w:rPr>
          <w:sz w:val="22"/>
          <w:szCs w:val="22"/>
        </w:rPr>
        <w:br/>
      </w:r>
    </w:p>
    <w:tbl>
      <w:tblPr>
        <w:tblW w:w="0" w:type="auto"/>
        <w:tblBorders>
          <w:top w:val="single" w:sz="18" w:space="0" w:color="auto"/>
          <w:bottom w:val="single" w:sz="18" w:space="0" w:color="auto"/>
        </w:tblBorders>
        <w:tblLook w:val="04A0" w:firstRow="1" w:lastRow="0" w:firstColumn="1" w:lastColumn="0" w:noHBand="0" w:noVBand="1"/>
      </w:tblPr>
      <w:tblGrid>
        <w:gridCol w:w="1402"/>
        <w:gridCol w:w="8174"/>
      </w:tblGrid>
      <w:tr w:rsidR="00187AFB" w:rsidRPr="006B66CE" w:rsidTr="006B66CE">
        <w:trPr>
          <w:trHeight w:val="435"/>
        </w:trPr>
        <w:tc>
          <w:tcPr>
            <w:tcW w:w="0" w:type="auto"/>
            <w:tcBorders>
              <w:top w:val="single" w:sz="18" w:space="0" w:color="auto"/>
              <w:left w:val="nil"/>
              <w:bottom w:val="single" w:sz="18" w:space="0" w:color="auto"/>
              <w:right w:val="nil"/>
            </w:tcBorders>
            <w:shd w:val="clear" w:color="auto" w:fill="8064A2"/>
            <w:noWrap/>
            <w:vAlign w:val="center"/>
          </w:tcPr>
          <w:p w:rsidR="002E5731" w:rsidRPr="006B66CE" w:rsidRDefault="002E5731" w:rsidP="006B66CE">
            <w:pPr>
              <w:jc w:val="center"/>
              <w:rPr>
                <w:rFonts w:ascii="Calibri" w:hAnsi="Calibri"/>
                <w:b/>
                <w:bCs/>
                <w:color w:val="FFFFFF"/>
                <w:sz w:val="20"/>
                <w:szCs w:val="16"/>
              </w:rPr>
            </w:pPr>
            <w:r w:rsidRPr="006B66CE">
              <w:rPr>
                <w:rFonts w:ascii="Calibri" w:hAnsi="Calibri"/>
                <w:b/>
                <w:bCs/>
                <w:color w:val="FFFFFF"/>
                <w:sz w:val="20"/>
                <w:szCs w:val="16"/>
              </w:rPr>
              <w:t>Area</w:t>
            </w:r>
          </w:p>
        </w:tc>
        <w:tc>
          <w:tcPr>
            <w:tcW w:w="0" w:type="auto"/>
            <w:tcBorders>
              <w:top w:val="single" w:sz="18" w:space="0" w:color="auto"/>
              <w:left w:val="nil"/>
              <w:bottom w:val="single" w:sz="18" w:space="0" w:color="auto"/>
              <w:right w:val="nil"/>
            </w:tcBorders>
            <w:shd w:val="clear" w:color="auto" w:fill="8064A2"/>
            <w:noWrap/>
            <w:vAlign w:val="center"/>
          </w:tcPr>
          <w:p w:rsidR="002E5731" w:rsidRPr="006B66CE" w:rsidRDefault="002E5731" w:rsidP="006B66CE">
            <w:pPr>
              <w:jc w:val="center"/>
              <w:rPr>
                <w:rFonts w:ascii="Calibri" w:hAnsi="Calibri"/>
                <w:b/>
                <w:bCs/>
                <w:color w:val="FFFFFF"/>
                <w:sz w:val="20"/>
                <w:szCs w:val="16"/>
              </w:rPr>
            </w:pPr>
            <w:r w:rsidRPr="006B66CE">
              <w:rPr>
                <w:rFonts w:ascii="Calibri" w:hAnsi="Calibri"/>
                <w:b/>
                <w:bCs/>
                <w:color w:val="FFFFFF"/>
                <w:sz w:val="20"/>
                <w:szCs w:val="16"/>
              </w:rPr>
              <w:t>Program Objectives</w:t>
            </w:r>
          </w:p>
        </w:tc>
      </w:tr>
      <w:tr w:rsidR="002E5731" w:rsidRPr="006B66CE" w:rsidTr="006B66CE">
        <w:trPr>
          <w:trHeight w:val="570"/>
        </w:trPr>
        <w:tc>
          <w:tcPr>
            <w:tcW w:w="0" w:type="auto"/>
            <w:tcBorders>
              <w:left w:val="nil"/>
              <w:bottom w:val="nil"/>
              <w:right w:val="nil"/>
            </w:tcBorders>
            <w:shd w:val="clear" w:color="auto" w:fill="8064A2"/>
            <w:vAlign w:val="center"/>
          </w:tcPr>
          <w:p w:rsidR="002E5731" w:rsidRPr="006B66CE" w:rsidRDefault="002E5731" w:rsidP="006B66CE">
            <w:pPr>
              <w:jc w:val="center"/>
              <w:rPr>
                <w:rFonts w:ascii="Calibri" w:hAnsi="Calibri"/>
                <w:b/>
                <w:bCs/>
                <w:color w:val="FFFFFF"/>
                <w:sz w:val="16"/>
                <w:szCs w:val="16"/>
              </w:rPr>
            </w:pPr>
            <w:r w:rsidRPr="006B66CE">
              <w:rPr>
                <w:rFonts w:ascii="Calibri" w:hAnsi="Calibri"/>
                <w:b/>
                <w:bCs/>
                <w:color w:val="FFFFFF"/>
                <w:sz w:val="16"/>
                <w:szCs w:val="16"/>
              </w:rPr>
              <w:t>Control Environment</w:t>
            </w:r>
          </w:p>
        </w:tc>
        <w:tc>
          <w:tcPr>
            <w:tcW w:w="0" w:type="auto"/>
            <w:shd w:val="clear" w:color="auto" w:fill="D8D8D8"/>
            <w:vAlign w:val="center"/>
          </w:tcPr>
          <w:p w:rsidR="002E5731" w:rsidRPr="006B66CE" w:rsidRDefault="002E5731" w:rsidP="00C93293">
            <w:pPr>
              <w:rPr>
                <w:rFonts w:ascii="Arial" w:hAnsi="Arial" w:cs="Arial"/>
                <w:sz w:val="16"/>
                <w:szCs w:val="16"/>
              </w:rPr>
            </w:pPr>
            <w:r w:rsidRPr="006B66CE">
              <w:rPr>
                <w:rFonts w:ascii="Arial" w:hAnsi="Arial" w:cs="Arial"/>
                <w:sz w:val="16"/>
                <w:szCs w:val="16"/>
              </w:rPr>
              <w:t>A. )  The applicant has a defined organizational structure and assignment of authority and responsibility to promote a sound environmental control</w:t>
            </w:r>
          </w:p>
        </w:tc>
      </w:tr>
      <w:tr w:rsidR="002E5731" w:rsidRPr="006B66CE" w:rsidTr="006B66CE">
        <w:trPr>
          <w:trHeight w:val="1035"/>
        </w:trPr>
        <w:tc>
          <w:tcPr>
            <w:tcW w:w="0" w:type="auto"/>
            <w:tcBorders>
              <w:left w:val="nil"/>
              <w:bottom w:val="nil"/>
              <w:right w:val="nil"/>
            </w:tcBorders>
            <w:shd w:val="clear" w:color="auto" w:fill="8064A2"/>
            <w:vAlign w:val="center"/>
          </w:tcPr>
          <w:p w:rsidR="002E5731" w:rsidRPr="006B66CE" w:rsidRDefault="002E5731" w:rsidP="006B66CE">
            <w:pPr>
              <w:jc w:val="center"/>
              <w:rPr>
                <w:rFonts w:ascii="Calibri" w:hAnsi="Calibri"/>
                <w:b/>
                <w:bCs/>
                <w:color w:val="FFFFFF"/>
                <w:sz w:val="16"/>
                <w:szCs w:val="16"/>
              </w:rPr>
            </w:pPr>
            <w:r w:rsidRPr="006B66CE">
              <w:rPr>
                <w:rFonts w:ascii="Calibri" w:hAnsi="Calibri"/>
                <w:b/>
                <w:bCs/>
                <w:color w:val="FFFFFF"/>
                <w:sz w:val="16"/>
                <w:szCs w:val="16"/>
              </w:rPr>
              <w:t>Expenditures</w:t>
            </w:r>
          </w:p>
        </w:tc>
        <w:tc>
          <w:tcPr>
            <w:tcW w:w="0" w:type="auto"/>
            <w:vAlign w:val="center"/>
          </w:tcPr>
          <w:p w:rsidR="002E5731" w:rsidRPr="006B66CE" w:rsidRDefault="002E5731" w:rsidP="00187AFB">
            <w:pPr>
              <w:rPr>
                <w:rFonts w:ascii="Arial" w:hAnsi="Arial" w:cs="Arial"/>
                <w:sz w:val="16"/>
                <w:szCs w:val="16"/>
              </w:rPr>
            </w:pPr>
            <w:r w:rsidRPr="006B66CE">
              <w:rPr>
                <w:rFonts w:ascii="Arial" w:hAnsi="Arial" w:cs="Arial"/>
                <w:sz w:val="16"/>
                <w:szCs w:val="16"/>
              </w:rPr>
              <w:t>B.)  All expenditures are approved by the program manager or someone who is familiar with the app</w:t>
            </w:r>
            <w:r w:rsidR="00D42F28">
              <w:rPr>
                <w:rFonts w:ascii="Arial" w:hAnsi="Arial" w:cs="Arial"/>
                <w:sz w:val="16"/>
                <w:szCs w:val="16"/>
              </w:rPr>
              <w:t>roved the cost principles</w:t>
            </w:r>
            <w:r w:rsidR="00187AFB" w:rsidRPr="006B66CE">
              <w:rPr>
                <w:rFonts w:ascii="Arial" w:hAnsi="Arial" w:cs="Arial"/>
                <w:sz w:val="16"/>
                <w:szCs w:val="16"/>
              </w:rPr>
              <w:t xml:space="preserve"> as applicable to the grant program</w:t>
            </w:r>
            <w:r w:rsidRPr="006B66CE">
              <w:rPr>
                <w:rFonts w:ascii="Arial" w:hAnsi="Arial" w:cs="Arial"/>
                <w:sz w:val="16"/>
                <w:szCs w:val="16"/>
              </w:rPr>
              <w:t>. The program manager approves only those expenditures that are: for activities approved in the application and are allowable under the cost principles</w:t>
            </w:r>
          </w:p>
        </w:tc>
      </w:tr>
      <w:tr w:rsidR="002E5731" w:rsidRPr="006B66CE" w:rsidTr="006B66CE">
        <w:trPr>
          <w:trHeight w:val="600"/>
        </w:trPr>
        <w:tc>
          <w:tcPr>
            <w:tcW w:w="0" w:type="auto"/>
            <w:tcBorders>
              <w:left w:val="nil"/>
              <w:bottom w:val="nil"/>
              <w:right w:val="nil"/>
            </w:tcBorders>
            <w:shd w:val="clear" w:color="auto" w:fill="8064A2"/>
            <w:vAlign w:val="center"/>
          </w:tcPr>
          <w:p w:rsidR="002E5731"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Accounting</w:t>
            </w:r>
          </w:p>
        </w:tc>
        <w:tc>
          <w:tcPr>
            <w:tcW w:w="0" w:type="auto"/>
            <w:shd w:val="clear" w:color="auto" w:fill="D8D8D8"/>
            <w:vAlign w:val="center"/>
          </w:tcPr>
          <w:p w:rsidR="002E5731" w:rsidRPr="006B66CE" w:rsidRDefault="002E5731" w:rsidP="00C93293">
            <w:pPr>
              <w:rPr>
                <w:rFonts w:ascii="Arial" w:hAnsi="Arial" w:cs="Arial"/>
                <w:sz w:val="16"/>
                <w:szCs w:val="16"/>
              </w:rPr>
            </w:pPr>
            <w:r w:rsidRPr="006B66CE">
              <w:rPr>
                <w:rFonts w:ascii="Arial" w:hAnsi="Arial" w:cs="Arial"/>
                <w:sz w:val="16"/>
                <w:szCs w:val="16"/>
              </w:rPr>
              <w:t>C.)  There is</w:t>
            </w:r>
            <w:r w:rsidR="00187AFB" w:rsidRPr="006B66CE">
              <w:rPr>
                <w:rFonts w:ascii="Arial" w:hAnsi="Arial" w:cs="Arial"/>
                <w:sz w:val="16"/>
                <w:szCs w:val="16"/>
              </w:rPr>
              <w:t xml:space="preserve"> an accounting record for each transaction that occurs for the applicable programs</w:t>
            </w:r>
            <w:r w:rsidRPr="006B66CE">
              <w:rPr>
                <w:rFonts w:ascii="Arial" w:hAnsi="Arial" w:cs="Arial"/>
                <w:sz w:val="16"/>
                <w:szCs w:val="16"/>
              </w:rPr>
              <w:t>. Expenditures are posted to the accounting record as they occur. The accounting record tracks expenditures against the approved budget</w:t>
            </w:r>
          </w:p>
        </w:tc>
      </w:tr>
      <w:tr w:rsidR="002E5731" w:rsidRPr="006B66CE" w:rsidTr="006B66CE">
        <w:trPr>
          <w:trHeight w:val="315"/>
        </w:trPr>
        <w:tc>
          <w:tcPr>
            <w:tcW w:w="0" w:type="auto"/>
            <w:tcBorders>
              <w:left w:val="nil"/>
              <w:bottom w:val="nil"/>
              <w:right w:val="nil"/>
            </w:tcBorders>
            <w:shd w:val="clear" w:color="auto" w:fill="8064A2"/>
            <w:vAlign w:val="center"/>
          </w:tcPr>
          <w:p w:rsidR="002E5731" w:rsidRPr="006B66CE" w:rsidRDefault="002E5731" w:rsidP="006B66CE">
            <w:pPr>
              <w:jc w:val="center"/>
              <w:rPr>
                <w:rFonts w:ascii="Calibri" w:hAnsi="Calibri"/>
                <w:b/>
                <w:bCs/>
                <w:color w:val="FFFFFF"/>
                <w:sz w:val="16"/>
                <w:szCs w:val="16"/>
              </w:rPr>
            </w:pPr>
            <w:r w:rsidRPr="006B66CE">
              <w:rPr>
                <w:rFonts w:ascii="Calibri" w:hAnsi="Calibri"/>
                <w:b/>
                <w:bCs/>
                <w:color w:val="FFFFFF"/>
                <w:sz w:val="16"/>
                <w:szCs w:val="16"/>
              </w:rPr>
              <w:t>Reporting</w:t>
            </w:r>
          </w:p>
        </w:tc>
        <w:tc>
          <w:tcPr>
            <w:tcW w:w="0" w:type="auto"/>
            <w:vAlign w:val="center"/>
          </w:tcPr>
          <w:p w:rsidR="002E5731" w:rsidRPr="006B66CE" w:rsidRDefault="002E5731" w:rsidP="00C93293">
            <w:pPr>
              <w:rPr>
                <w:rFonts w:ascii="Arial" w:hAnsi="Arial" w:cs="Arial"/>
                <w:sz w:val="16"/>
                <w:szCs w:val="16"/>
              </w:rPr>
            </w:pPr>
            <w:r w:rsidRPr="006B66CE">
              <w:rPr>
                <w:rFonts w:ascii="Arial" w:hAnsi="Arial" w:cs="Arial"/>
                <w:sz w:val="16"/>
                <w:szCs w:val="16"/>
              </w:rPr>
              <w:t>D.)  Quarterly</w:t>
            </w:r>
            <w:r w:rsidR="00D42F28">
              <w:rPr>
                <w:rFonts w:ascii="Arial" w:hAnsi="Arial" w:cs="Arial"/>
                <w:sz w:val="16"/>
                <w:szCs w:val="16"/>
              </w:rPr>
              <w:t xml:space="preserve"> </w:t>
            </w:r>
            <w:r w:rsidR="00187AFB" w:rsidRPr="006B66CE">
              <w:rPr>
                <w:rFonts w:ascii="Arial" w:hAnsi="Arial" w:cs="Arial"/>
                <w:sz w:val="16"/>
                <w:szCs w:val="16"/>
              </w:rPr>
              <w:t>reports are prepared and submitted</w:t>
            </w:r>
            <w:r w:rsidRPr="006B66CE">
              <w:rPr>
                <w:rFonts w:ascii="Arial" w:hAnsi="Arial" w:cs="Arial"/>
                <w:sz w:val="16"/>
                <w:szCs w:val="16"/>
              </w:rPr>
              <w:t xml:space="preserve"> </w:t>
            </w:r>
          </w:p>
        </w:tc>
      </w:tr>
      <w:tr w:rsidR="002E5731" w:rsidRPr="006B66CE" w:rsidTr="006B66CE">
        <w:trPr>
          <w:trHeight w:val="315"/>
        </w:trPr>
        <w:tc>
          <w:tcPr>
            <w:tcW w:w="0" w:type="auto"/>
            <w:tcBorders>
              <w:left w:val="nil"/>
              <w:bottom w:val="nil"/>
              <w:right w:val="nil"/>
            </w:tcBorders>
            <w:shd w:val="clear" w:color="auto" w:fill="8064A2"/>
            <w:vAlign w:val="center"/>
          </w:tcPr>
          <w:p w:rsidR="002E5731" w:rsidRPr="006B66CE" w:rsidRDefault="002E5731" w:rsidP="006B66CE">
            <w:pPr>
              <w:jc w:val="center"/>
              <w:rPr>
                <w:rFonts w:ascii="Calibri" w:hAnsi="Calibri"/>
                <w:b/>
                <w:bCs/>
                <w:color w:val="FFFFFF"/>
                <w:sz w:val="16"/>
                <w:szCs w:val="16"/>
              </w:rPr>
            </w:pPr>
            <w:r w:rsidRPr="006B66CE">
              <w:rPr>
                <w:rFonts w:ascii="Calibri" w:hAnsi="Calibri"/>
                <w:b/>
                <w:bCs/>
                <w:color w:val="FFFFFF"/>
                <w:sz w:val="16"/>
                <w:szCs w:val="16"/>
              </w:rPr>
              <w:t>Cash Management</w:t>
            </w:r>
          </w:p>
        </w:tc>
        <w:tc>
          <w:tcPr>
            <w:tcW w:w="0" w:type="auto"/>
            <w:shd w:val="clear" w:color="auto" w:fill="D8D8D8"/>
            <w:vAlign w:val="center"/>
          </w:tcPr>
          <w:p w:rsidR="002E5731" w:rsidRPr="006B66CE" w:rsidRDefault="002E5731" w:rsidP="00187AFB">
            <w:pPr>
              <w:rPr>
                <w:rFonts w:ascii="Arial" w:hAnsi="Arial" w:cs="Arial"/>
                <w:sz w:val="16"/>
                <w:szCs w:val="16"/>
              </w:rPr>
            </w:pPr>
            <w:r w:rsidRPr="006B66CE">
              <w:rPr>
                <w:rFonts w:ascii="Arial" w:hAnsi="Arial" w:cs="Arial"/>
                <w:sz w:val="16"/>
                <w:szCs w:val="16"/>
              </w:rPr>
              <w:t xml:space="preserve">E.)  </w:t>
            </w:r>
            <w:r w:rsidR="00D42F28">
              <w:rPr>
                <w:rFonts w:ascii="Arial" w:hAnsi="Arial" w:cs="Arial"/>
                <w:sz w:val="16"/>
                <w:szCs w:val="16"/>
              </w:rPr>
              <w:t xml:space="preserve">Grant </w:t>
            </w:r>
            <w:r w:rsidR="00187AFB" w:rsidRPr="006B66CE">
              <w:rPr>
                <w:rFonts w:ascii="Arial" w:hAnsi="Arial" w:cs="Arial"/>
                <w:sz w:val="16"/>
                <w:szCs w:val="16"/>
              </w:rPr>
              <w:t xml:space="preserve">program funds </w:t>
            </w:r>
            <w:r w:rsidRPr="006B66CE">
              <w:rPr>
                <w:rFonts w:ascii="Arial" w:hAnsi="Arial" w:cs="Arial"/>
                <w:sz w:val="16"/>
                <w:szCs w:val="16"/>
              </w:rPr>
              <w:t xml:space="preserve"> are properly administered</w:t>
            </w:r>
          </w:p>
        </w:tc>
      </w:tr>
      <w:tr w:rsidR="006E6238" w:rsidRPr="006B66CE" w:rsidTr="006B66CE">
        <w:trPr>
          <w:trHeight w:val="600"/>
        </w:trPr>
        <w:tc>
          <w:tcPr>
            <w:tcW w:w="0" w:type="auto"/>
            <w:tcBorders>
              <w:left w:val="nil"/>
              <w:bottom w:val="nil"/>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Administrative Expenses</w:t>
            </w:r>
          </w:p>
        </w:tc>
        <w:tc>
          <w:tcPr>
            <w:tcW w:w="0" w:type="auto"/>
            <w:vAlign w:val="center"/>
          </w:tcPr>
          <w:p w:rsidR="006E6238" w:rsidRPr="006B66CE" w:rsidRDefault="006E6238" w:rsidP="006B66CE">
            <w:pPr>
              <w:rPr>
                <w:rFonts w:ascii="Arial" w:hAnsi="Arial" w:cs="Arial"/>
                <w:sz w:val="16"/>
                <w:szCs w:val="16"/>
              </w:rPr>
            </w:pPr>
            <w:r w:rsidRPr="006B66CE">
              <w:rPr>
                <w:rFonts w:ascii="Arial" w:hAnsi="Arial" w:cs="Arial"/>
                <w:sz w:val="16"/>
                <w:szCs w:val="16"/>
              </w:rPr>
              <w:t>F.)  Administrative expenditures are approved by the Program Manager or Program Delegate. All submitted administrative expenses are evaluated for eligibility and compliance</w:t>
            </w:r>
          </w:p>
        </w:tc>
      </w:tr>
      <w:tr w:rsidR="006E6238" w:rsidRPr="006B66CE" w:rsidTr="006B66CE">
        <w:trPr>
          <w:trHeight w:val="600"/>
        </w:trPr>
        <w:tc>
          <w:tcPr>
            <w:tcW w:w="0" w:type="auto"/>
            <w:tcBorders>
              <w:left w:val="nil"/>
              <w:bottom w:val="nil"/>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Contracts</w:t>
            </w:r>
          </w:p>
        </w:tc>
        <w:tc>
          <w:tcPr>
            <w:tcW w:w="0" w:type="auto"/>
            <w:shd w:val="clear" w:color="auto" w:fill="D8D8D8"/>
            <w:vAlign w:val="center"/>
          </w:tcPr>
          <w:p w:rsidR="006E6238" w:rsidRPr="006B66CE" w:rsidRDefault="006E6238" w:rsidP="006B66CE">
            <w:pPr>
              <w:rPr>
                <w:rFonts w:ascii="Arial" w:hAnsi="Arial" w:cs="Arial"/>
                <w:sz w:val="16"/>
                <w:szCs w:val="16"/>
              </w:rPr>
            </w:pPr>
            <w:r w:rsidRPr="006B66CE">
              <w:rPr>
                <w:rFonts w:ascii="Arial" w:hAnsi="Arial" w:cs="Arial"/>
                <w:sz w:val="16"/>
                <w:szCs w:val="16"/>
              </w:rPr>
              <w:t>G.)  Contracts are utilized for the procurement of services and are approved in the local plan</w:t>
            </w:r>
          </w:p>
        </w:tc>
      </w:tr>
      <w:tr w:rsidR="006E6238" w:rsidRPr="006B66CE" w:rsidTr="006B66CE">
        <w:trPr>
          <w:trHeight w:val="315"/>
        </w:trPr>
        <w:tc>
          <w:tcPr>
            <w:tcW w:w="0" w:type="auto"/>
            <w:tcBorders>
              <w:left w:val="nil"/>
              <w:bottom w:val="nil"/>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 xml:space="preserve">Sub-grants </w:t>
            </w:r>
            <w:r w:rsidRPr="006B66CE">
              <w:rPr>
                <w:rFonts w:ascii="Calibri" w:hAnsi="Calibri"/>
                <w:b/>
                <w:bCs/>
                <w:color w:val="FFFFFF"/>
                <w:sz w:val="16"/>
                <w:szCs w:val="16"/>
              </w:rPr>
              <w:br/>
              <w:t>(If Applicable)</w:t>
            </w:r>
          </w:p>
        </w:tc>
        <w:tc>
          <w:tcPr>
            <w:tcW w:w="0" w:type="auto"/>
            <w:vAlign w:val="center"/>
          </w:tcPr>
          <w:p w:rsidR="006E6238" w:rsidRPr="006B66CE" w:rsidRDefault="006E6238" w:rsidP="006B66CE">
            <w:pPr>
              <w:rPr>
                <w:rFonts w:ascii="Arial" w:hAnsi="Arial" w:cs="Arial"/>
                <w:sz w:val="16"/>
                <w:szCs w:val="16"/>
              </w:rPr>
            </w:pPr>
            <w:r w:rsidRPr="006B66CE">
              <w:rPr>
                <w:rFonts w:ascii="Arial" w:hAnsi="Arial" w:cs="Arial"/>
                <w:sz w:val="16"/>
                <w:szCs w:val="16"/>
              </w:rPr>
              <w:t>H.)  If the recipient passes funds on to another organization, it is clear that it sub-grants these funds and monitoring activities are being implemented</w:t>
            </w:r>
          </w:p>
        </w:tc>
      </w:tr>
      <w:tr w:rsidR="006E6238" w:rsidRPr="006B66CE" w:rsidTr="006B66CE">
        <w:trPr>
          <w:trHeight w:val="570"/>
        </w:trPr>
        <w:tc>
          <w:tcPr>
            <w:tcW w:w="0" w:type="auto"/>
            <w:tcBorders>
              <w:left w:val="nil"/>
              <w:bottom w:val="nil"/>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Project Progress</w:t>
            </w:r>
          </w:p>
        </w:tc>
        <w:tc>
          <w:tcPr>
            <w:tcW w:w="0" w:type="auto"/>
            <w:shd w:val="clear" w:color="auto" w:fill="D8D8D8"/>
            <w:vAlign w:val="center"/>
          </w:tcPr>
          <w:p w:rsidR="006E6238" w:rsidRPr="006B66CE" w:rsidRDefault="006E6238" w:rsidP="006B66CE">
            <w:pPr>
              <w:rPr>
                <w:rFonts w:ascii="Arial" w:hAnsi="Arial" w:cs="Arial"/>
                <w:sz w:val="16"/>
                <w:szCs w:val="16"/>
              </w:rPr>
            </w:pPr>
            <w:r w:rsidRPr="006B66CE">
              <w:rPr>
                <w:rFonts w:ascii="Arial" w:hAnsi="Arial" w:cs="Arial"/>
                <w:sz w:val="16"/>
                <w:szCs w:val="16"/>
              </w:rPr>
              <w:t>I.) Progress on each project is measurable and clearly reflected on the quarterly reports</w:t>
            </w:r>
          </w:p>
        </w:tc>
      </w:tr>
      <w:tr w:rsidR="006E6238" w:rsidRPr="006B66CE" w:rsidTr="006B66CE">
        <w:trPr>
          <w:trHeight w:val="315"/>
        </w:trPr>
        <w:tc>
          <w:tcPr>
            <w:tcW w:w="0" w:type="auto"/>
            <w:tcBorders>
              <w:left w:val="nil"/>
              <w:bottom w:val="nil"/>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t>Record Retention</w:t>
            </w:r>
          </w:p>
        </w:tc>
        <w:tc>
          <w:tcPr>
            <w:tcW w:w="0" w:type="auto"/>
            <w:vAlign w:val="center"/>
          </w:tcPr>
          <w:p w:rsidR="006E6238" w:rsidRPr="006B66CE" w:rsidRDefault="006E6238" w:rsidP="006B66CE">
            <w:pPr>
              <w:rPr>
                <w:rFonts w:ascii="Arial" w:hAnsi="Arial" w:cs="Arial"/>
                <w:sz w:val="16"/>
                <w:szCs w:val="16"/>
              </w:rPr>
            </w:pPr>
            <w:r w:rsidRPr="006B66CE">
              <w:rPr>
                <w:rFonts w:ascii="Arial" w:hAnsi="Arial" w:cs="Arial"/>
                <w:sz w:val="16"/>
                <w:szCs w:val="16"/>
              </w:rPr>
              <w:t>J.)  Financial records, supporting documents, statistical records, and all other records pertinent to an award are retained for a period of three years after the submission of the final expenditure report was filed at the end of the year or the record was used in response to an audit finding</w:t>
            </w:r>
          </w:p>
        </w:tc>
      </w:tr>
      <w:tr w:rsidR="006E6238" w:rsidRPr="006B66CE" w:rsidTr="006B66CE">
        <w:trPr>
          <w:trHeight w:val="780"/>
        </w:trPr>
        <w:tc>
          <w:tcPr>
            <w:tcW w:w="0" w:type="auto"/>
            <w:tcBorders>
              <w:left w:val="nil"/>
              <w:bottom w:val="single" w:sz="18" w:space="0" w:color="auto"/>
              <w:right w:val="nil"/>
            </w:tcBorders>
            <w:shd w:val="clear" w:color="auto" w:fill="8064A2"/>
            <w:vAlign w:val="center"/>
          </w:tcPr>
          <w:p w:rsidR="006E6238" w:rsidRPr="006B66CE" w:rsidRDefault="006E6238" w:rsidP="006B66CE">
            <w:pPr>
              <w:jc w:val="center"/>
              <w:rPr>
                <w:rFonts w:ascii="Calibri" w:hAnsi="Calibri"/>
                <w:b/>
                <w:bCs/>
                <w:color w:val="FFFFFF"/>
                <w:sz w:val="16"/>
                <w:szCs w:val="16"/>
              </w:rPr>
            </w:pPr>
            <w:r w:rsidRPr="006B66CE">
              <w:rPr>
                <w:rFonts w:ascii="Calibri" w:hAnsi="Calibri"/>
                <w:b/>
                <w:bCs/>
                <w:color w:val="FFFFFF"/>
                <w:sz w:val="16"/>
                <w:szCs w:val="16"/>
              </w:rPr>
              <w:lastRenderedPageBreak/>
              <w:t>Other</w:t>
            </w:r>
          </w:p>
        </w:tc>
        <w:tc>
          <w:tcPr>
            <w:tcW w:w="0" w:type="auto"/>
            <w:shd w:val="clear" w:color="auto" w:fill="D8D8D8"/>
            <w:vAlign w:val="center"/>
          </w:tcPr>
          <w:p w:rsidR="006E6238" w:rsidRPr="006B66CE" w:rsidRDefault="006E6238" w:rsidP="006E6238">
            <w:pPr>
              <w:rPr>
                <w:rFonts w:ascii="Arial" w:hAnsi="Arial" w:cs="Arial"/>
                <w:sz w:val="16"/>
                <w:szCs w:val="16"/>
              </w:rPr>
            </w:pPr>
            <w:r w:rsidRPr="006B66CE">
              <w:rPr>
                <w:rFonts w:ascii="Arial" w:hAnsi="Arial" w:cs="Arial"/>
                <w:sz w:val="16"/>
                <w:szCs w:val="16"/>
              </w:rPr>
              <w:t>K.) Program specific requirements</w:t>
            </w:r>
          </w:p>
        </w:tc>
      </w:tr>
    </w:tbl>
    <w:p w:rsidR="002E5731" w:rsidRDefault="002E5731" w:rsidP="002E5731">
      <w:pPr>
        <w:ind w:left="1440"/>
      </w:pPr>
    </w:p>
    <w:p w:rsidR="002E5731" w:rsidRPr="00E963AA" w:rsidRDefault="002E5731" w:rsidP="002E5731">
      <w:pPr>
        <w:numPr>
          <w:ilvl w:val="0"/>
          <w:numId w:val="11"/>
        </w:numPr>
        <w:rPr>
          <w:sz w:val="22"/>
          <w:szCs w:val="22"/>
        </w:rPr>
      </w:pPr>
      <w:r w:rsidRPr="00E963AA">
        <w:rPr>
          <w:sz w:val="22"/>
          <w:szCs w:val="22"/>
        </w:rPr>
        <w:t>Timing and Logistics</w:t>
      </w:r>
    </w:p>
    <w:p w:rsidR="002E5731" w:rsidRPr="00E963AA" w:rsidRDefault="002E5731" w:rsidP="002E5731">
      <w:pPr>
        <w:ind w:left="1440"/>
        <w:rPr>
          <w:sz w:val="22"/>
          <w:szCs w:val="22"/>
        </w:rPr>
      </w:pPr>
    </w:p>
    <w:p w:rsidR="002E5731" w:rsidRDefault="002E5731" w:rsidP="002E5731">
      <w:pPr>
        <w:numPr>
          <w:ilvl w:val="0"/>
          <w:numId w:val="11"/>
        </w:numPr>
        <w:rPr>
          <w:sz w:val="22"/>
          <w:szCs w:val="22"/>
        </w:rPr>
      </w:pPr>
      <w:r w:rsidRPr="00E963AA">
        <w:rPr>
          <w:sz w:val="22"/>
          <w:szCs w:val="22"/>
        </w:rPr>
        <w:t>Benefits to applicants</w:t>
      </w:r>
    </w:p>
    <w:p w:rsidR="002E5731" w:rsidRDefault="002E5731" w:rsidP="002E5731">
      <w:pPr>
        <w:pStyle w:val="ListParagraph"/>
        <w:rPr>
          <w:sz w:val="22"/>
          <w:szCs w:val="22"/>
        </w:rPr>
      </w:pPr>
    </w:p>
    <w:p w:rsidR="002E5731" w:rsidRDefault="002E5731" w:rsidP="002E5731">
      <w:pPr>
        <w:numPr>
          <w:ilvl w:val="0"/>
          <w:numId w:val="14"/>
        </w:numPr>
        <w:rPr>
          <w:sz w:val="22"/>
          <w:szCs w:val="22"/>
        </w:rPr>
      </w:pPr>
      <w:r>
        <w:rPr>
          <w:sz w:val="22"/>
          <w:szCs w:val="22"/>
        </w:rPr>
        <w:t>Assistance with preparation to the close-out process</w:t>
      </w:r>
    </w:p>
    <w:p w:rsidR="002E5731" w:rsidRDefault="002E5731" w:rsidP="002E5731">
      <w:pPr>
        <w:numPr>
          <w:ilvl w:val="0"/>
          <w:numId w:val="14"/>
        </w:numPr>
        <w:rPr>
          <w:sz w:val="22"/>
          <w:szCs w:val="22"/>
        </w:rPr>
      </w:pPr>
      <w:r>
        <w:rPr>
          <w:sz w:val="22"/>
          <w:szCs w:val="22"/>
        </w:rPr>
        <w:t>Increased understanding of your unique situation</w:t>
      </w:r>
    </w:p>
    <w:p w:rsidR="002E5731" w:rsidRDefault="002E5731" w:rsidP="002E5731">
      <w:pPr>
        <w:numPr>
          <w:ilvl w:val="0"/>
          <w:numId w:val="14"/>
        </w:numPr>
        <w:rPr>
          <w:sz w:val="22"/>
          <w:szCs w:val="22"/>
        </w:rPr>
      </w:pPr>
      <w:r>
        <w:rPr>
          <w:sz w:val="22"/>
          <w:szCs w:val="22"/>
        </w:rPr>
        <w:t>Improved insight into the Expense Review process</w:t>
      </w:r>
    </w:p>
    <w:p w:rsidR="002E5731" w:rsidRDefault="002E5731" w:rsidP="002E5731">
      <w:pPr>
        <w:numPr>
          <w:ilvl w:val="0"/>
          <w:numId w:val="14"/>
        </w:numPr>
        <w:rPr>
          <w:sz w:val="22"/>
          <w:szCs w:val="22"/>
        </w:rPr>
      </w:pPr>
      <w:r>
        <w:rPr>
          <w:sz w:val="22"/>
          <w:szCs w:val="22"/>
        </w:rPr>
        <w:t>Exercise for your administrative function</w:t>
      </w:r>
    </w:p>
    <w:p w:rsidR="008443DA" w:rsidRDefault="008443DA" w:rsidP="008443DA">
      <w:pPr>
        <w:ind w:left="1440"/>
        <w:rPr>
          <w:sz w:val="22"/>
          <w:szCs w:val="22"/>
        </w:rPr>
      </w:pPr>
    </w:p>
    <w:p w:rsidR="008443DA" w:rsidRDefault="008443DA" w:rsidP="008443DA">
      <w:pPr>
        <w:numPr>
          <w:ilvl w:val="0"/>
          <w:numId w:val="11"/>
        </w:numPr>
        <w:rPr>
          <w:sz w:val="22"/>
          <w:szCs w:val="22"/>
        </w:rPr>
      </w:pPr>
      <w:r>
        <w:rPr>
          <w:sz w:val="22"/>
          <w:szCs w:val="22"/>
        </w:rPr>
        <w:t>Exit Interview</w:t>
      </w:r>
    </w:p>
    <w:p w:rsidR="002E5731" w:rsidRPr="00E963AA" w:rsidRDefault="002E5731" w:rsidP="002E5731">
      <w:pPr>
        <w:ind w:left="1800"/>
        <w:rPr>
          <w:sz w:val="22"/>
          <w:szCs w:val="22"/>
        </w:rPr>
      </w:pPr>
    </w:p>
    <w:p w:rsidR="002E5731" w:rsidRDefault="0072075A" w:rsidP="002E5731">
      <w:pPr>
        <w:numPr>
          <w:ilvl w:val="0"/>
          <w:numId w:val="11"/>
        </w:numPr>
        <w:rPr>
          <w:sz w:val="22"/>
          <w:szCs w:val="22"/>
        </w:rPr>
      </w:pPr>
      <w:r>
        <w:rPr>
          <w:sz w:val="22"/>
          <w:szCs w:val="22"/>
        </w:rPr>
        <w:t>Why</w:t>
      </w:r>
      <w:r w:rsidR="002E5731" w:rsidRPr="00E963AA">
        <w:rPr>
          <w:sz w:val="22"/>
          <w:szCs w:val="22"/>
        </w:rPr>
        <w:t xml:space="preserve"> </w:t>
      </w:r>
      <w:proofErr w:type="spellStart"/>
      <w:r w:rsidR="002E5731" w:rsidRPr="00E963AA">
        <w:rPr>
          <w:sz w:val="22"/>
          <w:szCs w:val="22"/>
        </w:rPr>
        <w:t>Subrecipient</w:t>
      </w:r>
      <w:proofErr w:type="spellEnd"/>
      <w:r w:rsidR="002E5731" w:rsidRPr="00E963AA">
        <w:rPr>
          <w:sz w:val="22"/>
          <w:szCs w:val="22"/>
        </w:rPr>
        <w:t xml:space="preserve"> Monitoring </w:t>
      </w:r>
      <w:r>
        <w:rPr>
          <w:sz w:val="22"/>
          <w:szCs w:val="22"/>
        </w:rPr>
        <w:t xml:space="preserve">is </w:t>
      </w:r>
      <w:bookmarkStart w:id="0" w:name="_GoBack"/>
      <w:bookmarkEnd w:id="0"/>
      <w:r w:rsidR="002E5731" w:rsidRPr="00E963AA">
        <w:rPr>
          <w:sz w:val="22"/>
          <w:szCs w:val="22"/>
        </w:rPr>
        <w:t>Important</w:t>
      </w:r>
    </w:p>
    <w:p w:rsidR="002E5731" w:rsidRPr="00E963AA" w:rsidRDefault="002E5731" w:rsidP="002E5731">
      <w:pPr>
        <w:ind w:left="1440"/>
        <w:rPr>
          <w:sz w:val="22"/>
          <w:szCs w:val="22"/>
        </w:rPr>
      </w:pPr>
    </w:p>
    <w:p w:rsidR="00887B23" w:rsidRPr="002E5731" w:rsidRDefault="002E5731" w:rsidP="00C93293">
      <w:pPr>
        <w:ind w:left="1080" w:firstLine="360"/>
        <w:rPr>
          <w:sz w:val="22"/>
          <w:szCs w:val="22"/>
        </w:rPr>
      </w:pPr>
      <w:r w:rsidRPr="00E963AA">
        <w:rPr>
          <w:sz w:val="22"/>
          <w:szCs w:val="22"/>
        </w:rPr>
        <w:t xml:space="preserve">There are </w:t>
      </w:r>
      <w:r>
        <w:rPr>
          <w:sz w:val="22"/>
          <w:szCs w:val="22"/>
        </w:rPr>
        <w:t xml:space="preserve">potential </w:t>
      </w:r>
      <w:r w:rsidRPr="00E963AA">
        <w:rPr>
          <w:sz w:val="22"/>
          <w:szCs w:val="22"/>
        </w:rPr>
        <w:t>sanctions associated to non-compliance with federal regulations</w:t>
      </w:r>
    </w:p>
    <w:p w:rsidR="007E062E" w:rsidRPr="007E062E" w:rsidRDefault="007E062E" w:rsidP="007E062E">
      <w:pPr>
        <w:rPr>
          <w:lang w:eastAsia="ko-KR"/>
        </w:rPr>
      </w:pPr>
    </w:p>
    <w:sectPr w:rsidR="007E062E" w:rsidRPr="007E062E" w:rsidSect="00D42F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1A" w:rsidRDefault="0057241A" w:rsidP="00BC28E7">
      <w:r>
        <w:separator/>
      </w:r>
    </w:p>
  </w:endnote>
  <w:endnote w:type="continuationSeparator" w:id="0">
    <w:p w:rsidR="0057241A" w:rsidRDefault="0057241A" w:rsidP="00BC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LBIC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28" w:rsidRDefault="00D42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93" w:rsidRDefault="008A1F62" w:rsidP="00C93293">
    <w:pPr>
      <w:pStyle w:val="Footer"/>
      <w:jc w:val="center"/>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79375</wp:posOffset>
              </wp:positionV>
              <wp:extent cx="5943600"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25pt;margin-top:6.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" strokecolor="#0d0d0d" strokeweight="1pt">
              <v:shadow color="#7f7f7f" opacity=".5" offset="1pt"/>
            </v:shape>
          </w:pict>
        </mc:Fallback>
      </mc:AlternateContent>
    </w:r>
  </w:p>
  <w:p w:rsidR="00C93293" w:rsidRPr="00AF55B9" w:rsidRDefault="00D42F28" w:rsidP="00C93293">
    <w:pPr>
      <w:pStyle w:val="Footer"/>
      <w:jc w:val="center"/>
      <w:rPr>
        <w:sz w:val="20"/>
        <w:szCs w:val="20"/>
      </w:rPr>
    </w:pPr>
    <w:r>
      <w:rPr>
        <w:sz w:val="20"/>
        <w:szCs w:val="20"/>
      </w:rPr>
      <w:t xml:space="preserve">Please use your agency’s letterhead </w:t>
    </w:r>
  </w:p>
  <w:p w:rsidR="00C93293" w:rsidRDefault="00C93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28" w:rsidRDefault="00D4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1A" w:rsidRDefault="0057241A" w:rsidP="00BC28E7">
      <w:r>
        <w:separator/>
      </w:r>
    </w:p>
  </w:footnote>
  <w:footnote w:type="continuationSeparator" w:id="0">
    <w:p w:rsidR="0057241A" w:rsidRDefault="0057241A" w:rsidP="00BC2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28" w:rsidRDefault="00D42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8E7" w:rsidRPr="00BC28E7" w:rsidRDefault="00573EB2" w:rsidP="00915DD1">
    <w:pPr>
      <w:pStyle w:val="Header"/>
      <w:spacing w:before="120" w:after="120"/>
      <w:rPr>
        <w:b/>
        <w:noProof/>
        <w:color w:val="0D0D0D"/>
      </w:rPr>
    </w:pPr>
    <w:r>
      <w:rPr>
        <w:b/>
        <w:noProof/>
        <w:color w:val="0D0D0D"/>
      </w:rPr>
      <w:t xml:space="preserve">Site Visit </w:t>
    </w:r>
    <w:r w:rsidR="002E5731">
      <w:rPr>
        <w:b/>
        <w:noProof/>
        <w:color w:val="0D0D0D"/>
      </w:rPr>
      <w:t>Introductory Meeting Agenda</w:t>
    </w:r>
    <w:r w:rsidR="00BC28E7" w:rsidRPr="00BC28E7">
      <w:rPr>
        <w:b/>
        <w:noProof/>
        <w:color w:val="0D0D0D"/>
      </w:rPr>
      <w:t xml:space="preserve"> </w:t>
    </w:r>
    <w:r w:rsidR="00BC28E7" w:rsidRPr="00BC28E7">
      <w:rPr>
        <w:b/>
        <w:noProof/>
        <w:color w:val="0D0D0D"/>
      </w:rPr>
      <w:tab/>
    </w:r>
    <w:r w:rsidR="00C93293">
      <w:rPr>
        <w:b/>
        <w:noProof/>
        <w:color w:val="0D0D0D"/>
      </w:rPr>
      <w:t xml:space="preserve">                          </w:t>
    </w:r>
    <w:r w:rsidR="008A1F62">
      <w:rPr>
        <w:b/>
        <w:noProof/>
        <w:color w:val="0D0D0D"/>
      </w:rPr>
      <w:drawing>
        <wp:inline distT="0" distB="0" distL="0" distR="0">
          <wp:extent cx="2091055" cy="581025"/>
          <wp:effectExtent l="0" t="0" r="4445" b="9525"/>
          <wp:docPr id="1" name="Picture 1" descr="G:\Shared drives\ADOA_Logos\ADOA\Grants\Arizona-ADOA-Grants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s\ADOA_Logos\ADOA\Grants\Arizona-ADOA-Grants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81025"/>
                  </a:xfrm>
                  <a:prstGeom prst="rect">
                    <a:avLst/>
                  </a:prstGeom>
                  <a:noFill/>
                  <a:ln>
                    <a:noFill/>
                  </a:ln>
                </pic:spPr>
              </pic:pic>
            </a:graphicData>
          </a:graphic>
        </wp:inline>
      </w:drawing>
    </w:r>
    <w:r w:rsidR="00BC28E7" w:rsidRPr="00BC28E7">
      <w:rPr>
        <w:b/>
        <w:noProof/>
      </w:rPr>
      <w:tab/>
    </w:r>
  </w:p>
  <w:p w:rsidR="00BC28E7" w:rsidRDefault="008A1F62" w:rsidP="00BC28E7">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97155</wp:posOffset>
              </wp:positionV>
              <wp:extent cx="5943600" cy="0"/>
              <wp:effectExtent l="9525" t="11430" r="9525"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1.25pt;margin-top:7.65pt;width:4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" strokecolor="#0d0d0d" strokeweight="1pt">
              <v:shadow color="#7f7f7f" opacity=".5" offse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28" w:rsidRDefault="00D42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30727"/>
    <w:multiLevelType w:val="hybridMultilevel"/>
    <w:tmpl w:val="2488F7C6"/>
    <w:lvl w:ilvl="0" w:tplc="E17A8FFC">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3C10683A"/>
    <w:multiLevelType w:val="hybridMultilevel"/>
    <w:tmpl w:val="AAFAA772"/>
    <w:lvl w:ilvl="0" w:tplc="0409000F">
      <w:start w:val="1"/>
      <w:numFmt w:val="decimal"/>
      <w:lvlText w:val="%1."/>
      <w:lvlJc w:val="left"/>
      <w:pPr>
        <w:tabs>
          <w:tab w:val="num" w:pos="720"/>
        </w:tabs>
        <w:ind w:left="720" w:hanging="360"/>
      </w:pPr>
    </w:lvl>
    <w:lvl w:ilvl="1" w:tplc="302A03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B269D2"/>
    <w:multiLevelType w:val="multilevel"/>
    <w:tmpl w:val="2488F7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4E79388E"/>
    <w:multiLevelType w:val="hybridMultilevel"/>
    <w:tmpl w:val="1FEC0FD0"/>
    <w:lvl w:ilvl="0" w:tplc="D2B2881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E31AB1"/>
    <w:multiLevelType w:val="hybridMultilevel"/>
    <w:tmpl w:val="4AECC298"/>
    <w:lvl w:ilvl="0" w:tplc="E17A8FFC">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787AA9"/>
    <w:multiLevelType w:val="multilevel"/>
    <w:tmpl w:val="66CC0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176526A"/>
    <w:multiLevelType w:val="multilevel"/>
    <w:tmpl w:val="1032B2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21F415B"/>
    <w:multiLevelType w:val="hybridMultilevel"/>
    <w:tmpl w:val="391A2690"/>
    <w:lvl w:ilvl="0" w:tplc="2FA899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D871DB"/>
    <w:multiLevelType w:val="hybridMultilevel"/>
    <w:tmpl w:val="1BB40A82"/>
    <w:lvl w:ilvl="0" w:tplc="6EF061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DFD76D2"/>
    <w:multiLevelType w:val="hybridMultilevel"/>
    <w:tmpl w:val="46A214A0"/>
    <w:lvl w:ilvl="0" w:tplc="E17A8FFC">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63F1E"/>
    <w:multiLevelType w:val="hybridMultilevel"/>
    <w:tmpl w:val="DFEC1E2A"/>
    <w:lvl w:ilvl="0" w:tplc="6662187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FF1C85"/>
    <w:multiLevelType w:val="hybridMultilevel"/>
    <w:tmpl w:val="419088C4"/>
    <w:lvl w:ilvl="0" w:tplc="AA0872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5F4853"/>
    <w:multiLevelType w:val="hybridMultilevel"/>
    <w:tmpl w:val="A650F6E0"/>
    <w:lvl w:ilvl="0" w:tplc="FB382A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F71159"/>
    <w:multiLevelType w:val="hybridMultilevel"/>
    <w:tmpl w:val="47AA9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3"/>
  </w:num>
  <w:num w:numId="4">
    <w:abstractNumId w:val="1"/>
  </w:num>
  <w:num w:numId="5">
    <w:abstractNumId w:val="7"/>
  </w:num>
  <w:num w:numId="6">
    <w:abstractNumId w:val="9"/>
  </w:num>
  <w:num w:numId="7">
    <w:abstractNumId w:val="4"/>
  </w:num>
  <w:num w:numId="8">
    <w:abstractNumId w:val="10"/>
  </w:num>
  <w:num w:numId="9">
    <w:abstractNumId w:val="5"/>
  </w:num>
  <w:num w:numId="10">
    <w:abstractNumId w:val="6"/>
  </w:num>
  <w:num w:numId="11">
    <w:abstractNumId w:val="11"/>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54"/>
    <w:rsid w:val="00000BB8"/>
    <w:rsid w:val="00014E9A"/>
    <w:rsid w:val="00017612"/>
    <w:rsid w:val="00017CF2"/>
    <w:rsid w:val="00020540"/>
    <w:rsid w:val="00023571"/>
    <w:rsid w:val="00024C21"/>
    <w:rsid w:val="00025A8D"/>
    <w:rsid w:val="00030790"/>
    <w:rsid w:val="000400E5"/>
    <w:rsid w:val="00046C61"/>
    <w:rsid w:val="00050694"/>
    <w:rsid w:val="00051DB1"/>
    <w:rsid w:val="000547E4"/>
    <w:rsid w:val="00061258"/>
    <w:rsid w:val="000613B4"/>
    <w:rsid w:val="000645CA"/>
    <w:rsid w:val="00064C49"/>
    <w:rsid w:val="00064F97"/>
    <w:rsid w:val="000754ED"/>
    <w:rsid w:val="00075E9B"/>
    <w:rsid w:val="00087B97"/>
    <w:rsid w:val="000A0B98"/>
    <w:rsid w:val="000A6D7B"/>
    <w:rsid w:val="000B2AEF"/>
    <w:rsid w:val="000C232D"/>
    <w:rsid w:val="000C5A6C"/>
    <w:rsid w:val="000D2163"/>
    <w:rsid w:val="000E3CB7"/>
    <w:rsid w:val="000E6298"/>
    <w:rsid w:val="001066B0"/>
    <w:rsid w:val="001153AE"/>
    <w:rsid w:val="0011561D"/>
    <w:rsid w:val="00121FC7"/>
    <w:rsid w:val="001230AA"/>
    <w:rsid w:val="00127610"/>
    <w:rsid w:val="00133831"/>
    <w:rsid w:val="00156593"/>
    <w:rsid w:val="001662F0"/>
    <w:rsid w:val="00167885"/>
    <w:rsid w:val="00174BB8"/>
    <w:rsid w:val="00177250"/>
    <w:rsid w:val="00180103"/>
    <w:rsid w:val="00187AFB"/>
    <w:rsid w:val="00195F7C"/>
    <w:rsid w:val="001A1171"/>
    <w:rsid w:val="001A3B0F"/>
    <w:rsid w:val="001D0C30"/>
    <w:rsid w:val="001D3330"/>
    <w:rsid w:val="001D3A8F"/>
    <w:rsid w:val="001D5D36"/>
    <w:rsid w:val="00200C68"/>
    <w:rsid w:val="00206CA5"/>
    <w:rsid w:val="002212DB"/>
    <w:rsid w:val="002217C0"/>
    <w:rsid w:val="00224142"/>
    <w:rsid w:val="002458D5"/>
    <w:rsid w:val="00250BA3"/>
    <w:rsid w:val="00256960"/>
    <w:rsid w:val="00263064"/>
    <w:rsid w:val="00273BA2"/>
    <w:rsid w:val="002834AA"/>
    <w:rsid w:val="00292472"/>
    <w:rsid w:val="00292561"/>
    <w:rsid w:val="00296776"/>
    <w:rsid w:val="002A0C39"/>
    <w:rsid w:val="002A40A5"/>
    <w:rsid w:val="002A5958"/>
    <w:rsid w:val="002C5FAC"/>
    <w:rsid w:val="002D4662"/>
    <w:rsid w:val="002E5731"/>
    <w:rsid w:val="0030367B"/>
    <w:rsid w:val="00313C1C"/>
    <w:rsid w:val="00320C1F"/>
    <w:rsid w:val="00324061"/>
    <w:rsid w:val="00331382"/>
    <w:rsid w:val="0033591F"/>
    <w:rsid w:val="00337CD8"/>
    <w:rsid w:val="00352BD9"/>
    <w:rsid w:val="003638A1"/>
    <w:rsid w:val="003864B7"/>
    <w:rsid w:val="003928B5"/>
    <w:rsid w:val="00392902"/>
    <w:rsid w:val="003930B4"/>
    <w:rsid w:val="00395E10"/>
    <w:rsid w:val="003A4DAC"/>
    <w:rsid w:val="003A5640"/>
    <w:rsid w:val="003B5C89"/>
    <w:rsid w:val="003B62C3"/>
    <w:rsid w:val="003D5D91"/>
    <w:rsid w:val="003E56EF"/>
    <w:rsid w:val="003E5FA1"/>
    <w:rsid w:val="003E6665"/>
    <w:rsid w:val="003E72EE"/>
    <w:rsid w:val="00405F4D"/>
    <w:rsid w:val="00414B65"/>
    <w:rsid w:val="00414D1E"/>
    <w:rsid w:val="00430CEB"/>
    <w:rsid w:val="0043555A"/>
    <w:rsid w:val="00436F83"/>
    <w:rsid w:val="00443384"/>
    <w:rsid w:val="00447B04"/>
    <w:rsid w:val="00447FCB"/>
    <w:rsid w:val="00453D1E"/>
    <w:rsid w:val="004545AD"/>
    <w:rsid w:val="0045548F"/>
    <w:rsid w:val="004637D0"/>
    <w:rsid w:val="00466412"/>
    <w:rsid w:val="004766D4"/>
    <w:rsid w:val="0048396E"/>
    <w:rsid w:val="004859EA"/>
    <w:rsid w:val="004A4319"/>
    <w:rsid w:val="004A5462"/>
    <w:rsid w:val="004A59E0"/>
    <w:rsid w:val="004B3EE1"/>
    <w:rsid w:val="004B6B65"/>
    <w:rsid w:val="004C63A0"/>
    <w:rsid w:val="004C6A17"/>
    <w:rsid w:val="004C6B9D"/>
    <w:rsid w:val="004F1036"/>
    <w:rsid w:val="004F2DDD"/>
    <w:rsid w:val="004F6195"/>
    <w:rsid w:val="00502883"/>
    <w:rsid w:val="00516E88"/>
    <w:rsid w:val="00523BDC"/>
    <w:rsid w:val="005328C5"/>
    <w:rsid w:val="0056199B"/>
    <w:rsid w:val="0057241A"/>
    <w:rsid w:val="00573EB2"/>
    <w:rsid w:val="00580028"/>
    <w:rsid w:val="0058363F"/>
    <w:rsid w:val="00591ECC"/>
    <w:rsid w:val="005A2A26"/>
    <w:rsid w:val="005B0A75"/>
    <w:rsid w:val="005B34BC"/>
    <w:rsid w:val="005C0530"/>
    <w:rsid w:val="005C42D0"/>
    <w:rsid w:val="005D4A5E"/>
    <w:rsid w:val="005D5F71"/>
    <w:rsid w:val="005D7A5B"/>
    <w:rsid w:val="005F11B3"/>
    <w:rsid w:val="005F2416"/>
    <w:rsid w:val="005F6B3C"/>
    <w:rsid w:val="005F7B18"/>
    <w:rsid w:val="00610632"/>
    <w:rsid w:val="006110C2"/>
    <w:rsid w:val="00614DA8"/>
    <w:rsid w:val="00624879"/>
    <w:rsid w:val="006268B6"/>
    <w:rsid w:val="006317B4"/>
    <w:rsid w:val="00633960"/>
    <w:rsid w:val="00643F86"/>
    <w:rsid w:val="006563AE"/>
    <w:rsid w:val="00661B75"/>
    <w:rsid w:val="0066619C"/>
    <w:rsid w:val="00673259"/>
    <w:rsid w:val="0067750F"/>
    <w:rsid w:val="0067768B"/>
    <w:rsid w:val="00683B55"/>
    <w:rsid w:val="00684FB8"/>
    <w:rsid w:val="0069127F"/>
    <w:rsid w:val="006A2121"/>
    <w:rsid w:val="006A5C28"/>
    <w:rsid w:val="006B66CE"/>
    <w:rsid w:val="006C3523"/>
    <w:rsid w:val="006D5769"/>
    <w:rsid w:val="006D6410"/>
    <w:rsid w:val="006D6D75"/>
    <w:rsid w:val="006E6238"/>
    <w:rsid w:val="006F04B0"/>
    <w:rsid w:val="006F19A4"/>
    <w:rsid w:val="00700327"/>
    <w:rsid w:val="00710755"/>
    <w:rsid w:val="00716437"/>
    <w:rsid w:val="007168E9"/>
    <w:rsid w:val="0072075A"/>
    <w:rsid w:val="00720A29"/>
    <w:rsid w:val="00747383"/>
    <w:rsid w:val="00755015"/>
    <w:rsid w:val="0076182E"/>
    <w:rsid w:val="00772191"/>
    <w:rsid w:val="007734FA"/>
    <w:rsid w:val="0077754B"/>
    <w:rsid w:val="00784AE1"/>
    <w:rsid w:val="00785088"/>
    <w:rsid w:val="007862EF"/>
    <w:rsid w:val="00792890"/>
    <w:rsid w:val="00796E56"/>
    <w:rsid w:val="007A52A6"/>
    <w:rsid w:val="007B26E1"/>
    <w:rsid w:val="007B4F80"/>
    <w:rsid w:val="007D30F6"/>
    <w:rsid w:val="007D6616"/>
    <w:rsid w:val="007E062E"/>
    <w:rsid w:val="007E32F0"/>
    <w:rsid w:val="007F6E90"/>
    <w:rsid w:val="00807A04"/>
    <w:rsid w:val="00813D5D"/>
    <w:rsid w:val="0082045B"/>
    <w:rsid w:val="0082228E"/>
    <w:rsid w:val="008334F4"/>
    <w:rsid w:val="008351FA"/>
    <w:rsid w:val="00842169"/>
    <w:rsid w:val="008431A0"/>
    <w:rsid w:val="0084324B"/>
    <w:rsid w:val="00843542"/>
    <w:rsid w:val="00844329"/>
    <w:rsid w:val="008443DA"/>
    <w:rsid w:val="00852A46"/>
    <w:rsid w:val="00854F2C"/>
    <w:rsid w:val="00862394"/>
    <w:rsid w:val="00867C89"/>
    <w:rsid w:val="00880545"/>
    <w:rsid w:val="00883535"/>
    <w:rsid w:val="00887B23"/>
    <w:rsid w:val="0089722B"/>
    <w:rsid w:val="008A1F62"/>
    <w:rsid w:val="008A2AB1"/>
    <w:rsid w:val="008A58DD"/>
    <w:rsid w:val="008B09B4"/>
    <w:rsid w:val="008B2053"/>
    <w:rsid w:val="008C3560"/>
    <w:rsid w:val="008C3870"/>
    <w:rsid w:val="008C5C39"/>
    <w:rsid w:val="008C77E8"/>
    <w:rsid w:val="008D1624"/>
    <w:rsid w:val="008D443F"/>
    <w:rsid w:val="008D5136"/>
    <w:rsid w:val="008D674A"/>
    <w:rsid w:val="008E097E"/>
    <w:rsid w:val="008E541D"/>
    <w:rsid w:val="008F0E89"/>
    <w:rsid w:val="008F222B"/>
    <w:rsid w:val="008F23E9"/>
    <w:rsid w:val="008F4C02"/>
    <w:rsid w:val="008F7F65"/>
    <w:rsid w:val="00915DD1"/>
    <w:rsid w:val="00916462"/>
    <w:rsid w:val="0093075D"/>
    <w:rsid w:val="009330C7"/>
    <w:rsid w:val="00944EDD"/>
    <w:rsid w:val="00951008"/>
    <w:rsid w:val="009613BB"/>
    <w:rsid w:val="00964477"/>
    <w:rsid w:val="00967F3F"/>
    <w:rsid w:val="009723B7"/>
    <w:rsid w:val="00973F54"/>
    <w:rsid w:val="0099352C"/>
    <w:rsid w:val="009A58B0"/>
    <w:rsid w:val="009B6F9A"/>
    <w:rsid w:val="009C49CC"/>
    <w:rsid w:val="009D3E96"/>
    <w:rsid w:val="009E454A"/>
    <w:rsid w:val="009F146B"/>
    <w:rsid w:val="009F3DE4"/>
    <w:rsid w:val="00A202B1"/>
    <w:rsid w:val="00A23B10"/>
    <w:rsid w:val="00A3030E"/>
    <w:rsid w:val="00A53176"/>
    <w:rsid w:val="00A55A44"/>
    <w:rsid w:val="00A563FA"/>
    <w:rsid w:val="00A80756"/>
    <w:rsid w:val="00A80818"/>
    <w:rsid w:val="00A86316"/>
    <w:rsid w:val="00AA1CC1"/>
    <w:rsid w:val="00AC1371"/>
    <w:rsid w:val="00AD3E28"/>
    <w:rsid w:val="00AD6B74"/>
    <w:rsid w:val="00AE0DF2"/>
    <w:rsid w:val="00AE76FD"/>
    <w:rsid w:val="00AF00CE"/>
    <w:rsid w:val="00AF4B8E"/>
    <w:rsid w:val="00B03767"/>
    <w:rsid w:val="00B06DB6"/>
    <w:rsid w:val="00B10DA0"/>
    <w:rsid w:val="00B10DC7"/>
    <w:rsid w:val="00B13901"/>
    <w:rsid w:val="00B15ACE"/>
    <w:rsid w:val="00B231CA"/>
    <w:rsid w:val="00B2400F"/>
    <w:rsid w:val="00B40D58"/>
    <w:rsid w:val="00B611AB"/>
    <w:rsid w:val="00B62ED4"/>
    <w:rsid w:val="00B64829"/>
    <w:rsid w:val="00B66E7F"/>
    <w:rsid w:val="00B73073"/>
    <w:rsid w:val="00B765C4"/>
    <w:rsid w:val="00B8617B"/>
    <w:rsid w:val="00B962C5"/>
    <w:rsid w:val="00B97A57"/>
    <w:rsid w:val="00BA2F89"/>
    <w:rsid w:val="00BA5ECB"/>
    <w:rsid w:val="00BB1E1B"/>
    <w:rsid w:val="00BC28E7"/>
    <w:rsid w:val="00BC52E1"/>
    <w:rsid w:val="00BC7CD6"/>
    <w:rsid w:val="00BD199A"/>
    <w:rsid w:val="00BE56D0"/>
    <w:rsid w:val="00BF3BC5"/>
    <w:rsid w:val="00BF60C5"/>
    <w:rsid w:val="00C1015F"/>
    <w:rsid w:val="00C10586"/>
    <w:rsid w:val="00C13C25"/>
    <w:rsid w:val="00C45267"/>
    <w:rsid w:val="00C54EAD"/>
    <w:rsid w:val="00C65819"/>
    <w:rsid w:val="00C677C3"/>
    <w:rsid w:val="00C7702E"/>
    <w:rsid w:val="00C92BC6"/>
    <w:rsid w:val="00C93293"/>
    <w:rsid w:val="00C93E7F"/>
    <w:rsid w:val="00C95B10"/>
    <w:rsid w:val="00CA0460"/>
    <w:rsid w:val="00CB1229"/>
    <w:rsid w:val="00CC1924"/>
    <w:rsid w:val="00CC600D"/>
    <w:rsid w:val="00CD410C"/>
    <w:rsid w:val="00CE0A54"/>
    <w:rsid w:val="00D03540"/>
    <w:rsid w:val="00D0395F"/>
    <w:rsid w:val="00D118CB"/>
    <w:rsid w:val="00D27827"/>
    <w:rsid w:val="00D370DE"/>
    <w:rsid w:val="00D42F28"/>
    <w:rsid w:val="00D50E52"/>
    <w:rsid w:val="00D5473C"/>
    <w:rsid w:val="00D74CA3"/>
    <w:rsid w:val="00D82B77"/>
    <w:rsid w:val="00D908F9"/>
    <w:rsid w:val="00DB3A36"/>
    <w:rsid w:val="00DC4E54"/>
    <w:rsid w:val="00DD7296"/>
    <w:rsid w:val="00DE4171"/>
    <w:rsid w:val="00DE4836"/>
    <w:rsid w:val="00DE4940"/>
    <w:rsid w:val="00DE50F5"/>
    <w:rsid w:val="00DF07F2"/>
    <w:rsid w:val="00E14840"/>
    <w:rsid w:val="00E1669B"/>
    <w:rsid w:val="00E21EFE"/>
    <w:rsid w:val="00E26F54"/>
    <w:rsid w:val="00E30F76"/>
    <w:rsid w:val="00E32AEA"/>
    <w:rsid w:val="00E370A2"/>
    <w:rsid w:val="00E37B6B"/>
    <w:rsid w:val="00E450FE"/>
    <w:rsid w:val="00E50B38"/>
    <w:rsid w:val="00E53418"/>
    <w:rsid w:val="00E55A5B"/>
    <w:rsid w:val="00E753DE"/>
    <w:rsid w:val="00E80704"/>
    <w:rsid w:val="00EA7C67"/>
    <w:rsid w:val="00EA7EFA"/>
    <w:rsid w:val="00EB22B5"/>
    <w:rsid w:val="00EC121E"/>
    <w:rsid w:val="00EC1404"/>
    <w:rsid w:val="00EC3542"/>
    <w:rsid w:val="00ED0B42"/>
    <w:rsid w:val="00EE41C0"/>
    <w:rsid w:val="00F02266"/>
    <w:rsid w:val="00F02699"/>
    <w:rsid w:val="00F21771"/>
    <w:rsid w:val="00F23A31"/>
    <w:rsid w:val="00F502F5"/>
    <w:rsid w:val="00F55208"/>
    <w:rsid w:val="00F629A4"/>
    <w:rsid w:val="00F90E9E"/>
    <w:rsid w:val="00F9639F"/>
    <w:rsid w:val="00FA0D3A"/>
    <w:rsid w:val="00FA2B50"/>
    <w:rsid w:val="00FA459E"/>
    <w:rsid w:val="00FB5A1F"/>
    <w:rsid w:val="00FB7D29"/>
    <w:rsid w:val="00FC34CC"/>
    <w:rsid w:val="00FC7C9A"/>
    <w:rsid w:val="00FC7DE8"/>
    <w:rsid w:val="00FD2AFC"/>
    <w:rsid w:val="00FF5435"/>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next w:val="Normal"/>
    <w:rsid w:val="00CE0A54"/>
    <w:pPr>
      <w:autoSpaceDE w:val="0"/>
      <w:autoSpaceDN w:val="0"/>
      <w:adjustRightInd w:val="0"/>
      <w:spacing w:before="100" w:after="100"/>
    </w:pPr>
    <w:rPr>
      <w:rFonts w:ascii="DLBICB+TimesNewRoman" w:hAnsi="DLBICB+TimesNewRoman"/>
      <w:lang w:eastAsia="ko-KR"/>
    </w:rPr>
  </w:style>
  <w:style w:type="paragraph" w:styleId="NormalWeb">
    <w:name w:val="Normal (Web)"/>
    <w:basedOn w:val="Normal"/>
    <w:rsid w:val="00DE50F5"/>
    <w:pPr>
      <w:spacing w:before="100" w:beforeAutospacing="1" w:after="100" w:afterAutospacing="1"/>
    </w:pPr>
    <w:rPr>
      <w:lang w:eastAsia="ko-KR"/>
    </w:rPr>
  </w:style>
  <w:style w:type="character" w:styleId="Strong">
    <w:name w:val="Strong"/>
    <w:basedOn w:val="DefaultParagraphFont"/>
    <w:qFormat/>
    <w:rsid w:val="00DE50F5"/>
    <w:rPr>
      <w:b/>
      <w:bCs/>
    </w:rPr>
  </w:style>
  <w:style w:type="paragraph" w:styleId="BalloonText">
    <w:name w:val="Balloon Text"/>
    <w:basedOn w:val="Normal"/>
    <w:semiHidden/>
    <w:rsid w:val="00887B23"/>
    <w:rPr>
      <w:rFonts w:ascii="Tahoma" w:hAnsi="Tahoma" w:cs="Tahoma"/>
      <w:sz w:val="16"/>
      <w:szCs w:val="16"/>
    </w:rPr>
  </w:style>
  <w:style w:type="character" w:styleId="CommentReference">
    <w:name w:val="annotation reference"/>
    <w:basedOn w:val="DefaultParagraphFont"/>
    <w:uiPriority w:val="99"/>
    <w:semiHidden/>
    <w:rsid w:val="00887B23"/>
    <w:rPr>
      <w:sz w:val="16"/>
      <w:szCs w:val="16"/>
    </w:rPr>
  </w:style>
  <w:style w:type="paragraph" w:styleId="CommentText">
    <w:name w:val="annotation text"/>
    <w:basedOn w:val="Normal"/>
    <w:link w:val="CommentTextChar"/>
    <w:uiPriority w:val="99"/>
    <w:semiHidden/>
    <w:rsid w:val="00887B23"/>
    <w:rPr>
      <w:sz w:val="20"/>
      <w:szCs w:val="20"/>
    </w:rPr>
  </w:style>
  <w:style w:type="paragraph" w:styleId="CommentSubject">
    <w:name w:val="annotation subject"/>
    <w:basedOn w:val="CommentText"/>
    <w:next w:val="CommentText"/>
    <w:semiHidden/>
    <w:rsid w:val="00887B23"/>
    <w:rPr>
      <w:b/>
      <w:bCs/>
    </w:rPr>
  </w:style>
  <w:style w:type="paragraph" w:styleId="Header">
    <w:name w:val="header"/>
    <w:basedOn w:val="Normal"/>
    <w:link w:val="HeaderChar"/>
    <w:rsid w:val="00BC28E7"/>
    <w:pPr>
      <w:tabs>
        <w:tab w:val="center" w:pos="4680"/>
        <w:tab w:val="right" w:pos="9360"/>
      </w:tabs>
    </w:pPr>
  </w:style>
  <w:style w:type="character" w:customStyle="1" w:styleId="HeaderChar">
    <w:name w:val="Header Char"/>
    <w:basedOn w:val="DefaultParagraphFont"/>
    <w:link w:val="Header"/>
    <w:rsid w:val="00BC28E7"/>
    <w:rPr>
      <w:sz w:val="24"/>
      <w:szCs w:val="24"/>
    </w:rPr>
  </w:style>
  <w:style w:type="paragraph" w:styleId="Footer">
    <w:name w:val="footer"/>
    <w:basedOn w:val="Normal"/>
    <w:link w:val="FooterChar"/>
    <w:rsid w:val="00BC28E7"/>
    <w:pPr>
      <w:tabs>
        <w:tab w:val="center" w:pos="4680"/>
        <w:tab w:val="right" w:pos="9360"/>
      </w:tabs>
    </w:pPr>
  </w:style>
  <w:style w:type="character" w:customStyle="1" w:styleId="FooterChar">
    <w:name w:val="Footer Char"/>
    <w:basedOn w:val="DefaultParagraphFont"/>
    <w:link w:val="Footer"/>
    <w:rsid w:val="00BC28E7"/>
    <w:rPr>
      <w:sz w:val="24"/>
      <w:szCs w:val="24"/>
    </w:rPr>
  </w:style>
  <w:style w:type="character" w:styleId="Hyperlink">
    <w:name w:val="Hyperlink"/>
    <w:basedOn w:val="DefaultParagraphFont"/>
    <w:uiPriority w:val="99"/>
    <w:unhideWhenUsed/>
    <w:rsid w:val="007E062E"/>
    <w:rPr>
      <w:color w:val="0000FF"/>
      <w:u w:val="single"/>
    </w:rPr>
  </w:style>
  <w:style w:type="character" w:customStyle="1" w:styleId="CommentTextChar">
    <w:name w:val="Comment Text Char"/>
    <w:basedOn w:val="DefaultParagraphFont"/>
    <w:link w:val="CommentText"/>
    <w:uiPriority w:val="99"/>
    <w:semiHidden/>
    <w:rsid w:val="007E062E"/>
  </w:style>
  <w:style w:type="paragraph" w:styleId="ListParagraph">
    <w:name w:val="List Paragraph"/>
    <w:basedOn w:val="Normal"/>
    <w:uiPriority w:val="34"/>
    <w:qFormat/>
    <w:rsid w:val="002E5731"/>
    <w:pPr>
      <w:ind w:left="720"/>
    </w:pPr>
  </w:style>
  <w:style w:type="table" w:styleId="LightList-Accent5">
    <w:name w:val="Light List Accent 5"/>
    <w:basedOn w:val="TableNormal"/>
    <w:uiPriority w:val="61"/>
    <w:rsid w:val="00C9329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4">
    <w:name w:val="Medium Shading 2 Accent 4"/>
    <w:basedOn w:val="TableNormal"/>
    <w:uiPriority w:val="64"/>
    <w:rsid w:val="00C932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6">
    <w:name w:val="xl26"/>
    <w:basedOn w:val="Normal"/>
    <w:next w:val="Normal"/>
    <w:rsid w:val="00CE0A54"/>
    <w:pPr>
      <w:autoSpaceDE w:val="0"/>
      <w:autoSpaceDN w:val="0"/>
      <w:adjustRightInd w:val="0"/>
      <w:spacing w:before="100" w:after="100"/>
    </w:pPr>
    <w:rPr>
      <w:rFonts w:ascii="DLBICB+TimesNewRoman" w:hAnsi="DLBICB+TimesNewRoman"/>
      <w:lang w:eastAsia="ko-KR"/>
    </w:rPr>
  </w:style>
  <w:style w:type="paragraph" w:styleId="NormalWeb">
    <w:name w:val="Normal (Web)"/>
    <w:basedOn w:val="Normal"/>
    <w:rsid w:val="00DE50F5"/>
    <w:pPr>
      <w:spacing w:before="100" w:beforeAutospacing="1" w:after="100" w:afterAutospacing="1"/>
    </w:pPr>
    <w:rPr>
      <w:lang w:eastAsia="ko-KR"/>
    </w:rPr>
  </w:style>
  <w:style w:type="character" w:styleId="Strong">
    <w:name w:val="Strong"/>
    <w:basedOn w:val="DefaultParagraphFont"/>
    <w:qFormat/>
    <w:rsid w:val="00DE50F5"/>
    <w:rPr>
      <w:b/>
      <w:bCs/>
    </w:rPr>
  </w:style>
  <w:style w:type="paragraph" w:styleId="BalloonText">
    <w:name w:val="Balloon Text"/>
    <w:basedOn w:val="Normal"/>
    <w:semiHidden/>
    <w:rsid w:val="00887B23"/>
    <w:rPr>
      <w:rFonts w:ascii="Tahoma" w:hAnsi="Tahoma" w:cs="Tahoma"/>
      <w:sz w:val="16"/>
      <w:szCs w:val="16"/>
    </w:rPr>
  </w:style>
  <w:style w:type="character" w:styleId="CommentReference">
    <w:name w:val="annotation reference"/>
    <w:basedOn w:val="DefaultParagraphFont"/>
    <w:uiPriority w:val="99"/>
    <w:semiHidden/>
    <w:rsid w:val="00887B23"/>
    <w:rPr>
      <w:sz w:val="16"/>
      <w:szCs w:val="16"/>
    </w:rPr>
  </w:style>
  <w:style w:type="paragraph" w:styleId="CommentText">
    <w:name w:val="annotation text"/>
    <w:basedOn w:val="Normal"/>
    <w:link w:val="CommentTextChar"/>
    <w:uiPriority w:val="99"/>
    <w:semiHidden/>
    <w:rsid w:val="00887B23"/>
    <w:rPr>
      <w:sz w:val="20"/>
      <w:szCs w:val="20"/>
    </w:rPr>
  </w:style>
  <w:style w:type="paragraph" w:styleId="CommentSubject">
    <w:name w:val="annotation subject"/>
    <w:basedOn w:val="CommentText"/>
    <w:next w:val="CommentText"/>
    <w:semiHidden/>
    <w:rsid w:val="00887B23"/>
    <w:rPr>
      <w:b/>
      <w:bCs/>
    </w:rPr>
  </w:style>
  <w:style w:type="paragraph" w:styleId="Header">
    <w:name w:val="header"/>
    <w:basedOn w:val="Normal"/>
    <w:link w:val="HeaderChar"/>
    <w:rsid w:val="00BC28E7"/>
    <w:pPr>
      <w:tabs>
        <w:tab w:val="center" w:pos="4680"/>
        <w:tab w:val="right" w:pos="9360"/>
      </w:tabs>
    </w:pPr>
  </w:style>
  <w:style w:type="character" w:customStyle="1" w:styleId="HeaderChar">
    <w:name w:val="Header Char"/>
    <w:basedOn w:val="DefaultParagraphFont"/>
    <w:link w:val="Header"/>
    <w:rsid w:val="00BC28E7"/>
    <w:rPr>
      <w:sz w:val="24"/>
      <w:szCs w:val="24"/>
    </w:rPr>
  </w:style>
  <w:style w:type="paragraph" w:styleId="Footer">
    <w:name w:val="footer"/>
    <w:basedOn w:val="Normal"/>
    <w:link w:val="FooterChar"/>
    <w:rsid w:val="00BC28E7"/>
    <w:pPr>
      <w:tabs>
        <w:tab w:val="center" w:pos="4680"/>
        <w:tab w:val="right" w:pos="9360"/>
      </w:tabs>
    </w:pPr>
  </w:style>
  <w:style w:type="character" w:customStyle="1" w:styleId="FooterChar">
    <w:name w:val="Footer Char"/>
    <w:basedOn w:val="DefaultParagraphFont"/>
    <w:link w:val="Footer"/>
    <w:rsid w:val="00BC28E7"/>
    <w:rPr>
      <w:sz w:val="24"/>
      <w:szCs w:val="24"/>
    </w:rPr>
  </w:style>
  <w:style w:type="character" w:styleId="Hyperlink">
    <w:name w:val="Hyperlink"/>
    <w:basedOn w:val="DefaultParagraphFont"/>
    <w:uiPriority w:val="99"/>
    <w:unhideWhenUsed/>
    <w:rsid w:val="007E062E"/>
    <w:rPr>
      <w:color w:val="0000FF"/>
      <w:u w:val="single"/>
    </w:rPr>
  </w:style>
  <w:style w:type="character" w:customStyle="1" w:styleId="CommentTextChar">
    <w:name w:val="Comment Text Char"/>
    <w:basedOn w:val="DefaultParagraphFont"/>
    <w:link w:val="CommentText"/>
    <w:uiPriority w:val="99"/>
    <w:semiHidden/>
    <w:rsid w:val="007E062E"/>
  </w:style>
  <w:style w:type="paragraph" w:styleId="ListParagraph">
    <w:name w:val="List Paragraph"/>
    <w:basedOn w:val="Normal"/>
    <w:uiPriority w:val="34"/>
    <w:qFormat/>
    <w:rsid w:val="002E5731"/>
    <w:pPr>
      <w:ind w:left="720"/>
    </w:pPr>
  </w:style>
  <w:style w:type="table" w:styleId="LightList-Accent5">
    <w:name w:val="Light List Accent 5"/>
    <w:basedOn w:val="TableNormal"/>
    <w:uiPriority w:val="61"/>
    <w:rsid w:val="00C9329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2-Accent4">
    <w:name w:val="Medium Shading 2 Accent 4"/>
    <w:basedOn w:val="TableNormal"/>
    <w:uiPriority w:val="64"/>
    <w:rsid w:val="00C9329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568">
      <w:bodyDiv w:val="1"/>
      <w:marLeft w:val="0"/>
      <w:marRight w:val="0"/>
      <w:marTop w:val="0"/>
      <w:marBottom w:val="0"/>
      <w:divBdr>
        <w:top w:val="none" w:sz="0" w:space="0" w:color="auto"/>
        <w:left w:val="none" w:sz="0" w:space="0" w:color="auto"/>
        <w:bottom w:val="none" w:sz="0" w:space="0" w:color="auto"/>
        <w:right w:val="none" w:sz="0" w:space="0" w:color="auto"/>
      </w:divBdr>
      <w:divsChild>
        <w:div w:id="36853559">
          <w:marLeft w:val="60"/>
          <w:marRight w:val="0"/>
          <w:marTop w:val="96"/>
          <w:marBottom w:val="0"/>
          <w:divBdr>
            <w:top w:val="none" w:sz="0" w:space="0" w:color="auto"/>
            <w:left w:val="none" w:sz="0" w:space="0" w:color="auto"/>
            <w:bottom w:val="none" w:sz="0" w:space="0" w:color="auto"/>
            <w:right w:val="none" w:sz="0" w:space="0" w:color="auto"/>
          </w:divBdr>
        </w:div>
      </w:divsChild>
    </w:div>
    <w:div w:id="336538190">
      <w:bodyDiv w:val="1"/>
      <w:marLeft w:val="0"/>
      <w:marRight w:val="0"/>
      <w:marTop w:val="0"/>
      <w:marBottom w:val="0"/>
      <w:divBdr>
        <w:top w:val="none" w:sz="0" w:space="0" w:color="auto"/>
        <w:left w:val="none" w:sz="0" w:space="0" w:color="auto"/>
        <w:bottom w:val="none" w:sz="0" w:space="0" w:color="auto"/>
        <w:right w:val="none" w:sz="0" w:space="0" w:color="auto"/>
      </w:divBdr>
      <w:divsChild>
        <w:div w:id="1419139382">
          <w:marLeft w:val="60"/>
          <w:marRight w:val="0"/>
          <w:marTop w:val="96"/>
          <w:marBottom w:val="0"/>
          <w:divBdr>
            <w:top w:val="none" w:sz="0" w:space="0" w:color="auto"/>
            <w:left w:val="none" w:sz="0" w:space="0" w:color="auto"/>
            <w:bottom w:val="none" w:sz="0" w:space="0" w:color="auto"/>
            <w:right w:val="none" w:sz="0" w:space="0" w:color="auto"/>
          </w:divBdr>
        </w:div>
      </w:divsChild>
    </w:div>
    <w:div w:id="389308756">
      <w:bodyDiv w:val="1"/>
      <w:marLeft w:val="0"/>
      <w:marRight w:val="0"/>
      <w:marTop w:val="0"/>
      <w:marBottom w:val="0"/>
      <w:divBdr>
        <w:top w:val="none" w:sz="0" w:space="0" w:color="auto"/>
        <w:left w:val="none" w:sz="0" w:space="0" w:color="auto"/>
        <w:bottom w:val="none" w:sz="0" w:space="0" w:color="auto"/>
        <w:right w:val="none" w:sz="0" w:space="0" w:color="auto"/>
      </w:divBdr>
      <w:divsChild>
        <w:div w:id="931863294">
          <w:marLeft w:val="60"/>
          <w:marRight w:val="0"/>
          <w:marTop w:val="96"/>
          <w:marBottom w:val="0"/>
          <w:divBdr>
            <w:top w:val="none" w:sz="0" w:space="0" w:color="auto"/>
            <w:left w:val="none" w:sz="0" w:space="0" w:color="auto"/>
            <w:bottom w:val="none" w:sz="0" w:space="0" w:color="auto"/>
            <w:right w:val="none" w:sz="0" w:space="0" w:color="auto"/>
          </w:divBdr>
        </w:div>
      </w:divsChild>
    </w:div>
    <w:div w:id="1787918251">
      <w:bodyDiv w:val="1"/>
      <w:marLeft w:val="0"/>
      <w:marRight w:val="0"/>
      <w:marTop w:val="0"/>
      <w:marBottom w:val="0"/>
      <w:divBdr>
        <w:top w:val="none" w:sz="0" w:space="0" w:color="auto"/>
        <w:left w:val="none" w:sz="0" w:space="0" w:color="auto"/>
        <w:bottom w:val="none" w:sz="0" w:space="0" w:color="auto"/>
        <w:right w:val="none" w:sz="0" w:space="0" w:color="auto"/>
      </w:divBdr>
      <w:divsChild>
        <w:div w:id="836186765">
          <w:marLeft w:val="6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C95B8-0AA3-4D3B-B053-DFA914AC15A8}">
  <ds:schemaRefs>
    <ds:schemaRef ds:uri="http://schemas.openxmlformats.org/officeDocument/2006/bibliography"/>
  </ds:schemaRefs>
</ds:datastoreItem>
</file>

<file path=customXml/itemProps2.xml><?xml version="1.0" encoding="utf-8"?>
<ds:datastoreItem xmlns:ds="http://schemas.openxmlformats.org/officeDocument/2006/customXml" ds:itemID="{F692FBF1-40C2-4CCE-A2F0-9841A1ED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Date: _______________</vt:lpstr>
    </vt:vector>
  </TitlesOfParts>
  <Company>Deloitte &amp; Touche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dc:title>
  <dc:creator>Torres, Leticia</dc:creator>
  <cp:lastModifiedBy>Veronica Peralta Torres</cp:lastModifiedBy>
  <cp:revision>2</cp:revision>
  <cp:lastPrinted>2008-02-06T21:22:00Z</cp:lastPrinted>
  <dcterms:created xsi:type="dcterms:W3CDTF">2019-06-14T22:55:00Z</dcterms:created>
  <dcterms:modified xsi:type="dcterms:W3CDTF">2019-07-03T19:55:00Z</dcterms:modified>
</cp:coreProperties>
</file>